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44" w:rsidRPr="00491DE4" w:rsidRDefault="007E5FE7" w:rsidP="00821136">
      <w:pPr>
        <w:spacing w:after="12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Thematic Statement</w:t>
      </w:r>
      <w:r w:rsidR="00ED0689">
        <w:rPr>
          <w:rFonts w:ascii="Cambria" w:hAnsi="Cambria"/>
          <w:b/>
          <w:sz w:val="28"/>
          <w:szCs w:val="28"/>
        </w:rPr>
        <w:t xml:space="preserve"> </w:t>
      </w:r>
      <w:r w:rsidR="00B763A2">
        <w:rPr>
          <w:rFonts w:ascii="Cambria" w:hAnsi="Cambria"/>
          <w:b/>
          <w:sz w:val="28"/>
          <w:szCs w:val="28"/>
        </w:rPr>
        <w:t>Examples</w:t>
      </w:r>
    </w:p>
    <w:p w:rsidR="004735A2" w:rsidRDefault="004735A2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What to avoid when writing a thematic statement</w:t>
      </w:r>
    </w:p>
    <w:p w:rsidR="004735A2" w:rsidRDefault="004735A2" w:rsidP="00821136">
      <w:pPr>
        <w:pStyle w:val="ListParagraph"/>
        <w:numPr>
          <w:ilvl w:val="0"/>
          <w:numId w:val="3"/>
        </w:num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Don’t write only one single word.  That’s the subject, not the theme.</w:t>
      </w:r>
    </w:p>
    <w:p w:rsidR="00965545" w:rsidRDefault="00965545" w:rsidP="00965545">
      <w:pPr>
        <w:pStyle w:val="ListParagraph"/>
        <w:spacing w:after="120" w:line="360" w:lineRule="auto"/>
        <w:rPr>
          <w:rFonts w:ascii="Calibri" w:hAnsi="Calibri"/>
          <w:sz w:val="28"/>
          <w:szCs w:val="28"/>
        </w:rPr>
      </w:pPr>
    </w:p>
    <w:p w:rsidR="00821136" w:rsidRPr="00821136" w:rsidRDefault="00821136" w:rsidP="00821136">
      <w:pPr>
        <w:pStyle w:val="ListParagraph"/>
        <w:numPr>
          <w:ilvl w:val="0"/>
          <w:numId w:val="3"/>
        </w:num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Don’t mention what happened in the story in your thematic statement.</w:t>
      </w:r>
    </w:p>
    <w:p w:rsidR="00821136" w:rsidRDefault="00821136" w:rsidP="00821136">
      <w:pPr>
        <w:pStyle w:val="ListParagraph"/>
        <w:spacing w:after="120" w:line="360" w:lineRule="auto"/>
        <w:rPr>
          <w:rFonts w:ascii="Bradley Hand ITC" w:hAnsi="Bradley Hand ITC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e.g. </w:t>
      </w:r>
      <w:r>
        <w:rPr>
          <w:rFonts w:ascii="Bradley Hand ITC" w:hAnsi="Bradley Hand ITC"/>
          <w:sz w:val="28"/>
          <w:szCs w:val="28"/>
        </w:rPr>
        <w:t xml:space="preserve">The theme is </w:t>
      </w:r>
      <w:r w:rsidR="00263272">
        <w:rPr>
          <w:rFonts w:ascii="Bradley Hand ITC" w:hAnsi="Bradley Hand ITC"/>
          <w:sz w:val="28"/>
          <w:szCs w:val="28"/>
        </w:rPr>
        <w:t xml:space="preserve">that </w:t>
      </w:r>
      <w:r w:rsidR="004A53A5">
        <w:rPr>
          <w:rFonts w:ascii="Bradley Hand ITC" w:hAnsi="Bradley Hand ITC"/>
          <w:sz w:val="28"/>
          <w:szCs w:val="28"/>
        </w:rPr>
        <w:t>prejudice</w:t>
      </w:r>
      <w:r w:rsidR="00263272">
        <w:rPr>
          <w:rFonts w:ascii="Bradley Hand ITC" w:hAnsi="Bradley Hand ITC"/>
          <w:sz w:val="28"/>
          <w:szCs w:val="28"/>
        </w:rPr>
        <w:t xml:space="preserve"> is hurtful</w:t>
      </w:r>
      <w:r>
        <w:rPr>
          <w:rFonts w:ascii="Bradley Hand ITC" w:hAnsi="Bradley Hand ITC"/>
          <w:sz w:val="28"/>
          <w:szCs w:val="28"/>
        </w:rPr>
        <w:t xml:space="preserve"> because </w:t>
      </w:r>
      <w:r w:rsidRPr="00263272">
        <w:rPr>
          <w:rFonts w:ascii="Bradley Hand ITC" w:hAnsi="Bradley Hand ITC"/>
          <w:color w:val="FF0000"/>
          <w:sz w:val="28"/>
          <w:szCs w:val="28"/>
        </w:rPr>
        <w:t xml:space="preserve">the </w:t>
      </w:r>
      <w:r w:rsidR="00263272" w:rsidRPr="00263272">
        <w:rPr>
          <w:rFonts w:ascii="Bradley Hand ITC" w:hAnsi="Bradley Hand ITC"/>
          <w:color w:val="FF0000"/>
          <w:sz w:val="28"/>
          <w:szCs w:val="28"/>
        </w:rPr>
        <w:t>Star-</w:t>
      </w:r>
      <w:proofErr w:type="spellStart"/>
      <w:r w:rsidRPr="00263272">
        <w:rPr>
          <w:rFonts w:ascii="Bradley Hand ITC" w:hAnsi="Bradley Hand ITC"/>
          <w:color w:val="FF0000"/>
          <w:sz w:val="28"/>
          <w:szCs w:val="28"/>
        </w:rPr>
        <w:t>Sneetches</w:t>
      </w:r>
      <w:proofErr w:type="spellEnd"/>
      <w:r w:rsidRPr="00263272">
        <w:rPr>
          <w:rFonts w:ascii="Bradley Hand ITC" w:hAnsi="Bradley Hand ITC"/>
          <w:color w:val="FF0000"/>
          <w:sz w:val="28"/>
          <w:szCs w:val="28"/>
        </w:rPr>
        <w:t xml:space="preserve"> only acce</w:t>
      </w:r>
      <w:r w:rsidR="004A53A5" w:rsidRPr="00263272">
        <w:rPr>
          <w:rFonts w:ascii="Bradley Hand ITC" w:hAnsi="Bradley Hand ITC"/>
          <w:color w:val="FF0000"/>
          <w:sz w:val="28"/>
          <w:szCs w:val="28"/>
        </w:rPr>
        <w:t>pt</w:t>
      </w:r>
      <w:r w:rsidR="00263272" w:rsidRPr="00263272">
        <w:rPr>
          <w:rFonts w:ascii="Bradley Hand ITC" w:hAnsi="Bradley Hand ITC"/>
          <w:color w:val="FF0000"/>
          <w:sz w:val="28"/>
          <w:szCs w:val="28"/>
        </w:rPr>
        <w:t>ed</w:t>
      </w:r>
      <w:r w:rsidR="004A53A5" w:rsidRPr="00263272">
        <w:rPr>
          <w:rFonts w:ascii="Bradley Hand ITC" w:hAnsi="Bradley Hand ITC"/>
          <w:color w:val="FF0000"/>
          <w:sz w:val="28"/>
          <w:szCs w:val="28"/>
        </w:rPr>
        <w:t xml:space="preserve"> </w:t>
      </w:r>
      <w:proofErr w:type="spellStart"/>
      <w:r w:rsidR="004A53A5" w:rsidRPr="00263272">
        <w:rPr>
          <w:rFonts w:ascii="Bradley Hand ITC" w:hAnsi="Bradley Hand ITC"/>
          <w:color w:val="FF0000"/>
          <w:sz w:val="28"/>
          <w:szCs w:val="28"/>
        </w:rPr>
        <w:t>Sneetches</w:t>
      </w:r>
      <w:proofErr w:type="spellEnd"/>
      <w:r w:rsidR="004A53A5" w:rsidRPr="00263272">
        <w:rPr>
          <w:rFonts w:ascii="Bradley Hand ITC" w:hAnsi="Bradley Hand ITC"/>
          <w:color w:val="FF0000"/>
          <w:sz w:val="28"/>
          <w:szCs w:val="28"/>
        </w:rPr>
        <w:t xml:space="preserve"> who look</w:t>
      </w:r>
      <w:r w:rsidR="00263272" w:rsidRPr="00263272">
        <w:rPr>
          <w:rFonts w:ascii="Bradley Hand ITC" w:hAnsi="Bradley Hand ITC"/>
          <w:color w:val="FF0000"/>
          <w:sz w:val="28"/>
          <w:szCs w:val="28"/>
        </w:rPr>
        <w:t>ed</w:t>
      </w:r>
      <w:r w:rsidR="004A53A5" w:rsidRPr="00263272">
        <w:rPr>
          <w:rFonts w:ascii="Bradley Hand ITC" w:hAnsi="Bradley Hand ITC"/>
          <w:color w:val="FF0000"/>
          <w:sz w:val="28"/>
          <w:szCs w:val="28"/>
        </w:rPr>
        <w:t xml:space="preserve"> like themselves</w:t>
      </w:r>
      <w:r w:rsidR="00263272" w:rsidRPr="00263272">
        <w:rPr>
          <w:rFonts w:ascii="Bradley Hand ITC" w:hAnsi="Bradley Hand ITC"/>
          <w:color w:val="FF0000"/>
          <w:sz w:val="28"/>
          <w:szCs w:val="28"/>
        </w:rPr>
        <w:t xml:space="preserve"> and that made the others sad.</w:t>
      </w:r>
    </w:p>
    <w:p w:rsidR="00965545" w:rsidRPr="00965545" w:rsidRDefault="00965545" w:rsidP="00965545">
      <w:pPr>
        <w:spacing w:after="120" w:line="360" w:lineRule="auto"/>
        <w:rPr>
          <w:rFonts w:asciiTheme="minorHAnsi" w:hAnsiTheme="minorHAnsi"/>
          <w:sz w:val="28"/>
          <w:szCs w:val="28"/>
        </w:rPr>
      </w:pPr>
    </w:p>
    <w:p w:rsidR="00263272" w:rsidRDefault="00263272" w:rsidP="00263272">
      <w:pPr>
        <w:pStyle w:val="ListParagraph"/>
        <w:numPr>
          <w:ilvl w:val="0"/>
          <w:numId w:val="3"/>
        </w:numPr>
        <w:spacing w:after="12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Don’t mention that you are </w:t>
      </w:r>
      <w:r w:rsidR="00D319C1">
        <w:rPr>
          <w:rFonts w:asciiTheme="minorHAnsi" w:hAnsiTheme="minorHAnsi"/>
          <w:sz w:val="28"/>
          <w:szCs w:val="28"/>
        </w:rPr>
        <w:t>answering a question</w:t>
      </w:r>
      <w:r>
        <w:rPr>
          <w:rFonts w:asciiTheme="minorHAnsi" w:hAnsiTheme="minorHAnsi"/>
          <w:sz w:val="28"/>
          <w:szCs w:val="28"/>
        </w:rPr>
        <w:t xml:space="preserve"> about </w:t>
      </w:r>
      <w:r w:rsidR="00D319C1">
        <w:rPr>
          <w:rFonts w:asciiTheme="minorHAnsi" w:hAnsiTheme="minorHAnsi"/>
          <w:sz w:val="28"/>
          <w:szCs w:val="28"/>
        </w:rPr>
        <w:t xml:space="preserve">what </w:t>
      </w:r>
      <w:r>
        <w:rPr>
          <w:rFonts w:asciiTheme="minorHAnsi" w:hAnsiTheme="minorHAnsi"/>
          <w:sz w:val="28"/>
          <w:szCs w:val="28"/>
        </w:rPr>
        <w:t>the theme</w:t>
      </w:r>
      <w:r w:rsidR="00D319C1">
        <w:rPr>
          <w:rFonts w:asciiTheme="minorHAnsi" w:hAnsiTheme="minorHAnsi"/>
          <w:sz w:val="28"/>
          <w:szCs w:val="28"/>
        </w:rPr>
        <w:t xml:space="preserve"> is, or what the author believes, or what the protagonist learned</w:t>
      </w:r>
      <w:r>
        <w:rPr>
          <w:rFonts w:asciiTheme="minorHAnsi" w:hAnsiTheme="minorHAnsi"/>
          <w:sz w:val="28"/>
          <w:szCs w:val="28"/>
        </w:rPr>
        <w:t>.</w:t>
      </w:r>
    </w:p>
    <w:p w:rsidR="00263272" w:rsidRDefault="00263272" w:rsidP="00263272">
      <w:pPr>
        <w:pStyle w:val="ListParagraph"/>
        <w:spacing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e.g. </w:t>
      </w:r>
      <w:r w:rsidRPr="00263272">
        <w:rPr>
          <w:rFonts w:ascii="Bradley Hand ITC" w:hAnsi="Bradley Hand ITC"/>
          <w:color w:val="FF0000"/>
          <w:sz w:val="28"/>
          <w:szCs w:val="28"/>
        </w:rPr>
        <w:t>I feel that one</w:t>
      </w:r>
      <w:r w:rsidRPr="00263272">
        <w:rPr>
          <w:rFonts w:ascii="Bradley Hand ITC" w:hAnsi="Bradley Hand ITC"/>
          <w:color w:val="FF0000"/>
          <w:sz w:val="28"/>
          <w:szCs w:val="28"/>
        </w:rPr>
        <w:t xml:space="preserve"> of the messages in the story is </w:t>
      </w:r>
      <w:r>
        <w:rPr>
          <w:rFonts w:ascii="Bradley Hand ITC" w:hAnsi="Bradley Hand ITC"/>
          <w:sz w:val="28"/>
          <w:szCs w:val="28"/>
        </w:rPr>
        <w:t>people are people and should overlook superficial difference and accept one another.</w:t>
      </w:r>
    </w:p>
    <w:p w:rsidR="00D319C1" w:rsidRPr="00D319C1" w:rsidRDefault="00D319C1" w:rsidP="00263272">
      <w:pPr>
        <w:pStyle w:val="ListParagraph"/>
        <w:spacing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e.g. </w:t>
      </w:r>
      <w:r w:rsidRPr="00D319C1">
        <w:rPr>
          <w:rFonts w:ascii="Bradley Hand ITC" w:hAnsi="Bradley Hand ITC"/>
          <w:color w:val="FF0000"/>
          <w:sz w:val="28"/>
          <w:szCs w:val="28"/>
        </w:rPr>
        <w:t xml:space="preserve">I think that the author believes that </w:t>
      </w:r>
      <w:r>
        <w:rPr>
          <w:rFonts w:ascii="Bradley Hand ITC" w:hAnsi="Bradley Hand ITC"/>
          <w:sz w:val="28"/>
          <w:szCs w:val="28"/>
        </w:rPr>
        <w:t>all people are valuable.</w:t>
      </w:r>
    </w:p>
    <w:p w:rsidR="00965545" w:rsidRPr="00965545" w:rsidRDefault="00965545" w:rsidP="00965545">
      <w:pPr>
        <w:spacing w:after="120" w:line="360" w:lineRule="auto"/>
        <w:rPr>
          <w:rFonts w:ascii="Bradley Hand ITC" w:hAnsi="Bradley Hand ITC"/>
          <w:i/>
          <w:sz w:val="28"/>
          <w:szCs w:val="28"/>
        </w:rPr>
      </w:pPr>
    </w:p>
    <w:p w:rsidR="00263272" w:rsidRDefault="00263272" w:rsidP="00263272">
      <w:pPr>
        <w:pStyle w:val="ListParagraph"/>
        <w:numPr>
          <w:ilvl w:val="0"/>
          <w:numId w:val="3"/>
        </w:num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Don’t be obvious or vague.</w:t>
      </w:r>
    </w:p>
    <w:p w:rsidR="00263272" w:rsidRPr="00821136" w:rsidRDefault="00263272" w:rsidP="00263272">
      <w:pPr>
        <w:pStyle w:val="ListParagraph"/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e.g. </w:t>
      </w:r>
      <w:r>
        <w:rPr>
          <w:rFonts w:ascii="Bradley Hand ITC" w:hAnsi="Bradley Hand ITC"/>
          <w:sz w:val="28"/>
          <w:szCs w:val="28"/>
        </w:rPr>
        <w:t>There is discrimination in the world.</w:t>
      </w:r>
      <w:r>
        <w:rPr>
          <w:rFonts w:ascii="Bradley Hand ITC" w:hAnsi="Bradley Hand ITC"/>
          <w:sz w:val="28"/>
          <w:szCs w:val="28"/>
        </w:rPr>
        <w:br/>
      </w:r>
      <w:r w:rsidR="00D319C1" w:rsidRPr="00D319C1">
        <w:rPr>
          <w:rFonts w:asciiTheme="minorHAnsi" w:hAnsiTheme="minorHAnsi"/>
          <w:sz w:val="28"/>
          <w:szCs w:val="28"/>
        </w:rPr>
        <w:t>e.g.</w:t>
      </w:r>
      <w:r w:rsidR="00D319C1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Sometimes, people don’t accept other people because of how they look.</w:t>
      </w:r>
    </w:p>
    <w:p w:rsidR="004A53A5" w:rsidRDefault="004A53A5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938F7" w:rsidRDefault="000938F7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938F7" w:rsidRDefault="000938F7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938F7" w:rsidRDefault="000938F7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F55F58" w:rsidRDefault="00846D37" w:rsidP="00821136">
      <w:p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lastRenderedPageBreak/>
        <w:t>Text</w:t>
      </w:r>
      <w:r>
        <w:rPr>
          <w:rFonts w:ascii="Calibri" w:hAnsi="Calibri"/>
          <w:sz w:val="28"/>
          <w:szCs w:val="28"/>
        </w:rPr>
        <w:t xml:space="preserve">: </w:t>
      </w:r>
      <w:r w:rsidR="00CD5394">
        <w:rPr>
          <w:rFonts w:ascii="Bradley Hand ITC" w:hAnsi="Bradley Hand ITC"/>
          <w:sz w:val="28"/>
          <w:szCs w:val="28"/>
        </w:rPr>
        <w:t xml:space="preserve">The </w:t>
      </w:r>
      <w:proofErr w:type="spellStart"/>
      <w:r w:rsidR="00CD5394">
        <w:rPr>
          <w:rFonts w:ascii="Bradley Hand ITC" w:hAnsi="Bradley Hand ITC"/>
          <w:sz w:val="28"/>
          <w:szCs w:val="28"/>
        </w:rPr>
        <w:t>Sneetches</w:t>
      </w:r>
      <w:proofErr w:type="spellEnd"/>
    </w:p>
    <w:p w:rsidR="00846D37" w:rsidRDefault="00846D37" w:rsidP="00821136">
      <w:p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 xml:space="preserve">Thematic </w:t>
      </w:r>
      <w:r w:rsidR="00367660">
        <w:rPr>
          <w:rFonts w:ascii="Calibri" w:hAnsi="Calibri"/>
          <w:sz w:val="28"/>
          <w:szCs w:val="28"/>
          <w:u w:val="single"/>
        </w:rPr>
        <w:t>Subjects</w:t>
      </w:r>
      <w:r w:rsidR="00CD5394">
        <w:rPr>
          <w:rFonts w:ascii="Calibri" w:hAnsi="Calibri"/>
          <w:sz w:val="28"/>
          <w:szCs w:val="28"/>
        </w:rPr>
        <w:t xml:space="preserve">:  </w:t>
      </w:r>
      <w:r w:rsidR="00CD5394">
        <w:rPr>
          <w:rFonts w:ascii="Bradley Hand ITC" w:hAnsi="Bradley Hand ITC"/>
          <w:sz w:val="28"/>
          <w:szCs w:val="28"/>
        </w:rPr>
        <w:t>Prejudice</w:t>
      </w:r>
      <w:r>
        <w:rPr>
          <w:rFonts w:ascii="Calibri" w:hAnsi="Calibri"/>
          <w:sz w:val="28"/>
          <w:szCs w:val="28"/>
        </w:rPr>
        <w:tab/>
      </w:r>
    </w:p>
    <w:p w:rsidR="00846D37" w:rsidRPr="00846D37" w:rsidRDefault="00846D37" w:rsidP="00821136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Thematic Statement</w:t>
      </w:r>
      <w:r>
        <w:rPr>
          <w:rFonts w:ascii="Calibri" w:hAnsi="Calibri"/>
          <w:sz w:val="28"/>
          <w:szCs w:val="28"/>
        </w:rPr>
        <w:t>:</w:t>
      </w:r>
    </w:p>
    <w:p w:rsidR="00F55F58" w:rsidRDefault="00CD5394" w:rsidP="00821136">
      <w:pPr>
        <w:spacing w:before="120"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You should judge people by how they act, not based on what they look like.</w:t>
      </w:r>
    </w:p>
    <w:p w:rsidR="00865250" w:rsidRPr="00CD5394" w:rsidRDefault="00865250" w:rsidP="00821136">
      <w:pPr>
        <w:spacing w:before="120"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It doesn’t matter what someone looks like; we are all people.  Just because you have something that other’s don’t, doesn’t mean that your life is more valuable than theirs.</w:t>
      </w:r>
    </w:p>
    <w:p w:rsidR="00846D37" w:rsidRDefault="00846D37" w:rsidP="00821136">
      <w:pPr>
        <w:spacing w:after="120" w:line="360" w:lineRule="auto"/>
        <w:rPr>
          <w:rFonts w:ascii="Calibri" w:hAnsi="Calibri"/>
          <w:sz w:val="28"/>
          <w:szCs w:val="28"/>
        </w:rPr>
      </w:pPr>
      <w:r w:rsidRPr="00846D37">
        <w:rPr>
          <w:rFonts w:ascii="Calibri" w:hAnsi="Calibri"/>
          <w:sz w:val="28"/>
          <w:szCs w:val="28"/>
          <w:u w:val="single"/>
        </w:rPr>
        <w:t>Evidence from the text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  <w:r w:rsidR="00CD5394">
        <w:rPr>
          <w:rFonts w:ascii="Bradley Hand ITC" w:hAnsi="Bradley Hand ITC"/>
          <w:sz w:val="28"/>
          <w:szCs w:val="28"/>
        </w:rPr>
        <w:t xml:space="preserve">The Star </w:t>
      </w:r>
      <w:proofErr w:type="spellStart"/>
      <w:r w:rsidR="00CD5394">
        <w:rPr>
          <w:rFonts w:ascii="Bradley Hand ITC" w:hAnsi="Bradley Hand ITC"/>
          <w:sz w:val="28"/>
          <w:szCs w:val="28"/>
        </w:rPr>
        <w:t>Sneetches</w:t>
      </w:r>
      <w:proofErr w:type="spellEnd"/>
      <w:r w:rsidR="00CD5394">
        <w:rPr>
          <w:rFonts w:ascii="Bradley Hand ITC" w:hAnsi="Bradley Hand ITC"/>
          <w:sz w:val="28"/>
          <w:szCs w:val="28"/>
        </w:rPr>
        <w:t xml:space="preserve"> thought they were better than the plain </w:t>
      </w:r>
      <w:proofErr w:type="spellStart"/>
      <w:r w:rsidR="00CD5394">
        <w:rPr>
          <w:rFonts w:ascii="Bradley Hand ITC" w:hAnsi="Bradley Hand ITC"/>
          <w:sz w:val="28"/>
          <w:szCs w:val="28"/>
        </w:rPr>
        <w:t>Sneetches</w:t>
      </w:r>
      <w:proofErr w:type="spellEnd"/>
      <w:r w:rsidR="00CD5394">
        <w:rPr>
          <w:rFonts w:ascii="Bradley Hand ITC" w:hAnsi="Bradley Hand ITC"/>
          <w:sz w:val="28"/>
          <w:szCs w:val="28"/>
        </w:rPr>
        <w:t xml:space="preserve"> just because they had no stars.  At the end, they learned that a </w:t>
      </w:r>
      <w:proofErr w:type="spellStart"/>
      <w:r w:rsidR="00CD5394">
        <w:rPr>
          <w:rFonts w:ascii="Bradley Hand ITC" w:hAnsi="Bradley Hand ITC"/>
          <w:sz w:val="28"/>
          <w:szCs w:val="28"/>
        </w:rPr>
        <w:t>Sneetch</w:t>
      </w:r>
      <w:proofErr w:type="spellEnd"/>
      <w:r w:rsidR="00CD5394">
        <w:rPr>
          <w:rFonts w:ascii="Bradley Hand ITC" w:hAnsi="Bradley Hand ITC"/>
          <w:sz w:val="28"/>
          <w:szCs w:val="28"/>
        </w:rPr>
        <w:t xml:space="preserve"> is a </w:t>
      </w:r>
      <w:proofErr w:type="spellStart"/>
      <w:r w:rsidR="00CD5394">
        <w:rPr>
          <w:rFonts w:ascii="Bradley Hand ITC" w:hAnsi="Bradley Hand ITC"/>
          <w:sz w:val="28"/>
          <w:szCs w:val="28"/>
        </w:rPr>
        <w:t>Sneetch</w:t>
      </w:r>
      <w:proofErr w:type="spellEnd"/>
      <w:r w:rsidR="00CD5394">
        <w:rPr>
          <w:rFonts w:ascii="Bradley Hand ITC" w:hAnsi="Bradley Hand ITC"/>
          <w:sz w:val="28"/>
          <w:szCs w:val="28"/>
        </w:rPr>
        <w:t xml:space="preserve"> with or without a star.</w:t>
      </w:r>
    </w:p>
    <w:p w:rsidR="00D319C1" w:rsidRDefault="00D319C1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:rsidR="00CD5394" w:rsidRDefault="00CD5394" w:rsidP="00821136">
      <w:p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Thematic Subjects</w:t>
      </w:r>
      <w:r>
        <w:rPr>
          <w:rFonts w:ascii="Calibri" w:hAnsi="Calibri"/>
          <w:sz w:val="28"/>
          <w:szCs w:val="28"/>
        </w:rPr>
        <w:t xml:space="preserve">:  </w:t>
      </w:r>
      <w:r>
        <w:rPr>
          <w:rFonts w:ascii="Bradley Hand ITC" w:hAnsi="Bradley Hand ITC"/>
          <w:sz w:val="28"/>
          <w:szCs w:val="28"/>
        </w:rPr>
        <w:t>Acceptance of others</w:t>
      </w:r>
      <w:r>
        <w:rPr>
          <w:rFonts w:ascii="Calibri" w:hAnsi="Calibri"/>
          <w:sz w:val="28"/>
          <w:szCs w:val="28"/>
        </w:rPr>
        <w:tab/>
      </w:r>
    </w:p>
    <w:p w:rsidR="00846D37" w:rsidRPr="00846D37" w:rsidRDefault="00846D37" w:rsidP="00821136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Thematic Statement</w:t>
      </w:r>
      <w:r>
        <w:rPr>
          <w:rFonts w:ascii="Calibri" w:hAnsi="Calibri"/>
          <w:sz w:val="28"/>
          <w:szCs w:val="28"/>
        </w:rPr>
        <w:t>:</w:t>
      </w:r>
    </w:p>
    <w:p w:rsidR="00846D37" w:rsidRPr="00CD5394" w:rsidRDefault="0002096E" w:rsidP="00821136">
      <w:pPr>
        <w:spacing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When</w:t>
      </w:r>
      <w:r w:rsidR="00CD5394">
        <w:rPr>
          <w:rFonts w:ascii="Bradley Hand ITC" w:hAnsi="Bradley Hand ITC"/>
          <w:sz w:val="28"/>
          <w:szCs w:val="28"/>
        </w:rPr>
        <w:t xml:space="preserve"> pe0ple </w:t>
      </w:r>
      <w:r>
        <w:rPr>
          <w:rFonts w:ascii="Bradley Hand ITC" w:hAnsi="Bradley Hand ITC"/>
          <w:sz w:val="28"/>
          <w:szCs w:val="28"/>
        </w:rPr>
        <w:t>look past</w:t>
      </w:r>
      <w:r w:rsidR="00CD5394">
        <w:rPr>
          <w:rFonts w:ascii="Bradley Hand ITC" w:hAnsi="Bradley Hand ITC"/>
          <w:sz w:val="28"/>
          <w:szCs w:val="28"/>
        </w:rPr>
        <w:t xml:space="preserve"> each other</w:t>
      </w:r>
      <w:r>
        <w:rPr>
          <w:rFonts w:ascii="Bradley Hand ITC" w:hAnsi="Bradley Hand ITC"/>
          <w:sz w:val="28"/>
          <w:szCs w:val="28"/>
        </w:rPr>
        <w:t>’s superficial differences, they often find that they’re actually not that different after all.</w:t>
      </w:r>
    </w:p>
    <w:p w:rsidR="00AD6904" w:rsidRDefault="00846D37" w:rsidP="00821136">
      <w:pPr>
        <w:spacing w:after="120" w:line="360" w:lineRule="auto"/>
        <w:rPr>
          <w:rFonts w:ascii="Bradley Hand ITC" w:hAnsi="Bradley Hand ITC"/>
          <w:sz w:val="28"/>
          <w:szCs w:val="28"/>
        </w:rPr>
      </w:pPr>
      <w:r w:rsidRPr="00846D37">
        <w:rPr>
          <w:rFonts w:ascii="Calibri" w:hAnsi="Calibri"/>
          <w:sz w:val="28"/>
          <w:szCs w:val="28"/>
          <w:u w:val="single"/>
        </w:rPr>
        <w:t>Evidence from the text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  <w:r w:rsidR="0002096E">
        <w:rPr>
          <w:rFonts w:ascii="Bradley Hand ITC" w:hAnsi="Bradley Hand ITC"/>
          <w:sz w:val="28"/>
          <w:szCs w:val="28"/>
        </w:rPr>
        <w:t xml:space="preserve">The </w:t>
      </w:r>
      <w:proofErr w:type="spellStart"/>
      <w:r w:rsidR="0002096E">
        <w:rPr>
          <w:rFonts w:ascii="Bradley Hand ITC" w:hAnsi="Bradley Hand ITC"/>
          <w:sz w:val="28"/>
          <w:szCs w:val="28"/>
        </w:rPr>
        <w:t>Sneetches</w:t>
      </w:r>
      <w:proofErr w:type="spellEnd"/>
      <w:r w:rsidR="0002096E">
        <w:rPr>
          <w:rFonts w:ascii="Bradley Hand ITC" w:hAnsi="Bradley Hand ITC"/>
          <w:sz w:val="28"/>
          <w:szCs w:val="28"/>
        </w:rPr>
        <w:t xml:space="preserve"> forget about stars and whether they had one or not, and learned to accept that </w:t>
      </w:r>
      <w:proofErr w:type="spellStart"/>
      <w:r w:rsidR="0002096E">
        <w:rPr>
          <w:rFonts w:ascii="Bradley Hand ITC" w:hAnsi="Bradley Hand ITC"/>
          <w:sz w:val="28"/>
          <w:szCs w:val="28"/>
        </w:rPr>
        <w:t>Sneetches</w:t>
      </w:r>
      <w:proofErr w:type="spellEnd"/>
      <w:r w:rsidR="0002096E">
        <w:rPr>
          <w:rFonts w:ascii="Bradley Hand ITC" w:hAnsi="Bradley Hand ITC"/>
          <w:sz w:val="28"/>
          <w:szCs w:val="28"/>
        </w:rPr>
        <w:t xml:space="preserve"> are </w:t>
      </w:r>
      <w:proofErr w:type="spellStart"/>
      <w:r w:rsidR="0002096E">
        <w:rPr>
          <w:rFonts w:ascii="Bradley Hand ITC" w:hAnsi="Bradley Hand ITC"/>
          <w:sz w:val="28"/>
          <w:szCs w:val="28"/>
        </w:rPr>
        <w:t>Sneetches</w:t>
      </w:r>
      <w:proofErr w:type="spellEnd"/>
      <w:r w:rsidR="0002096E">
        <w:rPr>
          <w:rFonts w:ascii="Bradley Hand ITC" w:hAnsi="Bradley Hand ITC"/>
          <w:sz w:val="28"/>
          <w:szCs w:val="28"/>
        </w:rPr>
        <w:t>.</w:t>
      </w:r>
    </w:p>
    <w:p w:rsidR="000508DB" w:rsidRDefault="000508DB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938F7" w:rsidRDefault="000938F7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938F7" w:rsidRDefault="000938F7" w:rsidP="00821136">
      <w:pPr>
        <w:spacing w:after="120" w:line="360" w:lineRule="auto"/>
        <w:rPr>
          <w:rFonts w:ascii="Calibri" w:hAnsi="Calibri"/>
          <w:sz w:val="28"/>
          <w:szCs w:val="28"/>
          <w:u w:val="single"/>
        </w:rPr>
      </w:pPr>
    </w:p>
    <w:p w:rsidR="0002096E" w:rsidRDefault="0002096E" w:rsidP="00821136">
      <w:pPr>
        <w:spacing w:after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lastRenderedPageBreak/>
        <w:t>Thematic Subjects</w:t>
      </w:r>
      <w:r>
        <w:rPr>
          <w:rFonts w:ascii="Calibri" w:hAnsi="Calibri"/>
          <w:sz w:val="28"/>
          <w:szCs w:val="28"/>
        </w:rPr>
        <w:t xml:space="preserve">:  </w:t>
      </w:r>
      <w:r>
        <w:rPr>
          <w:rFonts w:ascii="Bradley Hand ITC" w:hAnsi="Bradley Hand ITC"/>
          <w:sz w:val="28"/>
          <w:szCs w:val="28"/>
        </w:rPr>
        <w:t>Consumerism</w:t>
      </w:r>
      <w:r>
        <w:rPr>
          <w:rFonts w:ascii="Calibri" w:hAnsi="Calibri"/>
          <w:sz w:val="28"/>
          <w:szCs w:val="28"/>
        </w:rPr>
        <w:tab/>
      </w:r>
    </w:p>
    <w:p w:rsidR="0002096E" w:rsidRPr="00846D37" w:rsidRDefault="0002096E" w:rsidP="00821136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Thematic Statement</w:t>
      </w:r>
      <w:r>
        <w:rPr>
          <w:rFonts w:ascii="Calibri" w:hAnsi="Calibri"/>
          <w:sz w:val="28"/>
          <w:szCs w:val="28"/>
        </w:rPr>
        <w:t>:</w:t>
      </w:r>
    </w:p>
    <w:p w:rsidR="0002096E" w:rsidRPr="00CD5394" w:rsidRDefault="0002096E" w:rsidP="00821136">
      <w:pPr>
        <w:spacing w:after="12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If you</w:t>
      </w:r>
      <w:r w:rsidR="00FC3DC1">
        <w:rPr>
          <w:rFonts w:ascii="Bradley Hand ITC" w:hAnsi="Bradley Hand ITC"/>
          <w:sz w:val="28"/>
          <w:szCs w:val="28"/>
        </w:rPr>
        <w:t xml:space="preserve"> always try </w:t>
      </w:r>
      <w:r w:rsidR="00865250">
        <w:rPr>
          <w:rFonts w:ascii="Bradley Hand ITC" w:hAnsi="Bradley Hand ITC"/>
          <w:sz w:val="28"/>
          <w:szCs w:val="28"/>
        </w:rPr>
        <w:t>to adopt</w:t>
      </w:r>
      <w:r w:rsidR="00FC3DC1">
        <w:rPr>
          <w:rFonts w:ascii="Bradley Hand ITC" w:hAnsi="Bradley Hand ITC"/>
          <w:sz w:val="28"/>
          <w:szCs w:val="28"/>
        </w:rPr>
        <w:t xml:space="preserve"> </w:t>
      </w:r>
      <w:r w:rsidR="00865250">
        <w:rPr>
          <w:rFonts w:ascii="Bradley Hand ITC" w:hAnsi="Bradley Hand ITC"/>
          <w:sz w:val="28"/>
          <w:szCs w:val="28"/>
        </w:rPr>
        <w:t>the latest popular trend</w:t>
      </w:r>
      <w:r w:rsidR="00FC3DC1">
        <w:rPr>
          <w:rFonts w:ascii="Bradley Hand ITC" w:hAnsi="Bradley Hand ITC"/>
          <w:sz w:val="28"/>
          <w:szCs w:val="28"/>
        </w:rPr>
        <w:t xml:space="preserve">, you’ll forever be </w:t>
      </w:r>
      <w:r w:rsidR="00865250">
        <w:rPr>
          <w:rFonts w:ascii="Bradley Hand ITC" w:hAnsi="Bradley Hand ITC"/>
          <w:sz w:val="28"/>
          <w:szCs w:val="28"/>
        </w:rPr>
        <w:t>desperately changing who you are in order to fit in.</w:t>
      </w:r>
    </w:p>
    <w:p w:rsidR="0002096E" w:rsidRDefault="0002096E" w:rsidP="00821136">
      <w:pPr>
        <w:spacing w:after="120" w:line="360" w:lineRule="auto"/>
        <w:rPr>
          <w:rFonts w:ascii="Bradley Hand ITC" w:hAnsi="Bradley Hand ITC"/>
          <w:sz w:val="28"/>
          <w:szCs w:val="28"/>
        </w:rPr>
      </w:pPr>
      <w:r w:rsidRPr="00846D37">
        <w:rPr>
          <w:rFonts w:ascii="Calibri" w:hAnsi="Calibri"/>
          <w:sz w:val="28"/>
          <w:szCs w:val="28"/>
          <w:u w:val="single"/>
        </w:rPr>
        <w:t>Evidence from the text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  <w:r>
        <w:rPr>
          <w:rFonts w:ascii="Bradley Hand ITC" w:hAnsi="Bradley Hand ITC"/>
          <w:sz w:val="28"/>
          <w:szCs w:val="28"/>
        </w:rPr>
        <w:t xml:space="preserve">The </w:t>
      </w:r>
      <w:proofErr w:type="spellStart"/>
      <w:r>
        <w:rPr>
          <w:rFonts w:ascii="Bradley Hand ITC" w:hAnsi="Bradley Hand ITC"/>
          <w:sz w:val="28"/>
          <w:szCs w:val="28"/>
        </w:rPr>
        <w:t>Sneetches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  <w:r w:rsidR="00FC3DC1">
        <w:rPr>
          <w:rFonts w:ascii="Bradley Hand ITC" w:hAnsi="Bradley Hand ITC"/>
          <w:sz w:val="28"/>
          <w:szCs w:val="28"/>
        </w:rPr>
        <w:t xml:space="preserve">kept paying </w:t>
      </w:r>
      <w:proofErr w:type="spellStart"/>
      <w:r w:rsidR="00FC3DC1">
        <w:rPr>
          <w:rFonts w:ascii="Bradley Hand ITC" w:hAnsi="Bradley Hand ITC"/>
          <w:sz w:val="28"/>
          <w:szCs w:val="28"/>
        </w:rPr>
        <w:t>McBean</w:t>
      </w:r>
      <w:proofErr w:type="spellEnd"/>
      <w:r w:rsidR="00FC3DC1">
        <w:rPr>
          <w:rFonts w:ascii="Bradley Hand ITC" w:hAnsi="Bradley Hand ITC"/>
          <w:sz w:val="28"/>
          <w:szCs w:val="28"/>
        </w:rPr>
        <w:t xml:space="preserve"> to change their bellies so they could be in style, but the minute they changed, the others would say that the new change was now out of style</w:t>
      </w:r>
      <w:r>
        <w:rPr>
          <w:rFonts w:ascii="Bradley Hand ITC" w:hAnsi="Bradley Hand ITC"/>
          <w:sz w:val="28"/>
          <w:szCs w:val="28"/>
        </w:rPr>
        <w:t>.</w:t>
      </w:r>
      <w:r w:rsidR="00FC3DC1">
        <w:rPr>
          <w:rFonts w:ascii="Bradley Hand ITC" w:hAnsi="Bradley Hand ITC"/>
          <w:sz w:val="28"/>
          <w:szCs w:val="28"/>
        </w:rPr>
        <w:t xml:space="preserve"> They kept doing it over and over until they were exhausted and broke.</w:t>
      </w:r>
    </w:p>
    <w:sectPr w:rsidR="0002096E" w:rsidSect="00B847B7">
      <w:type w:val="continuous"/>
      <w:pgSz w:w="12240" w:h="15840"/>
      <w:pgMar w:top="1440" w:right="1296" w:bottom="1267" w:left="1584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23AA"/>
    <w:multiLevelType w:val="hybridMultilevel"/>
    <w:tmpl w:val="B87CF7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B08BF"/>
    <w:multiLevelType w:val="hybridMultilevel"/>
    <w:tmpl w:val="030AF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AA41A6"/>
    <w:multiLevelType w:val="hybridMultilevel"/>
    <w:tmpl w:val="673A718C"/>
    <w:lvl w:ilvl="0" w:tplc="90FA51C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0"/>
    <w:rsid w:val="00005D5A"/>
    <w:rsid w:val="0002096E"/>
    <w:rsid w:val="000508DB"/>
    <w:rsid w:val="00067D25"/>
    <w:rsid w:val="000938F7"/>
    <w:rsid w:val="00202006"/>
    <w:rsid w:val="00210086"/>
    <w:rsid w:val="00263272"/>
    <w:rsid w:val="00294C1B"/>
    <w:rsid w:val="002E1F63"/>
    <w:rsid w:val="002E3A9B"/>
    <w:rsid w:val="00367660"/>
    <w:rsid w:val="004735A2"/>
    <w:rsid w:val="00491DE4"/>
    <w:rsid w:val="004A53A5"/>
    <w:rsid w:val="00520EC4"/>
    <w:rsid w:val="005D52DE"/>
    <w:rsid w:val="005F3AAF"/>
    <w:rsid w:val="00603FAB"/>
    <w:rsid w:val="007263BD"/>
    <w:rsid w:val="00742037"/>
    <w:rsid w:val="007505AD"/>
    <w:rsid w:val="007E5FE7"/>
    <w:rsid w:val="00821136"/>
    <w:rsid w:val="00846D37"/>
    <w:rsid w:val="00865250"/>
    <w:rsid w:val="008A177E"/>
    <w:rsid w:val="008E123A"/>
    <w:rsid w:val="00937893"/>
    <w:rsid w:val="00965545"/>
    <w:rsid w:val="00AC749A"/>
    <w:rsid w:val="00AD6904"/>
    <w:rsid w:val="00B16D45"/>
    <w:rsid w:val="00B75BE0"/>
    <w:rsid w:val="00B763A2"/>
    <w:rsid w:val="00B847B7"/>
    <w:rsid w:val="00BE012E"/>
    <w:rsid w:val="00C40A17"/>
    <w:rsid w:val="00CD5394"/>
    <w:rsid w:val="00D319C1"/>
    <w:rsid w:val="00DA1C57"/>
    <w:rsid w:val="00E132F4"/>
    <w:rsid w:val="00E31373"/>
    <w:rsid w:val="00ED0689"/>
    <w:rsid w:val="00F137ED"/>
    <w:rsid w:val="00F252A0"/>
    <w:rsid w:val="00F55F58"/>
    <w:rsid w:val="00FB5E44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7E272-676B-43AD-944B-922EDBB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132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90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7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162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5378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9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144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0379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2541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C6DBDD64.dotm</Template>
  <TotalTime>46</TotalTime>
  <Pages>3</Pages>
  <Words>362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Touching Spirit Bear – Summative Assignment</vt:lpstr>
    </vt:vector>
  </TitlesOfParts>
  <Company/>
  <LinksUpToDate>false</LinksUpToDate>
  <CharactersWithSpaces>2161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http://www.goodreads.com/author/show/1466.Jean_Paul_Sartre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Touching Spirit Bear – Summative Assignment</dc:title>
  <dc:subject/>
  <dc:creator>Jonathon Allsopp</dc:creator>
  <cp:keywords/>
  <dc:description/>
  <cp:lastModifiedBy>Allsopp, Jonathon</cp:lastModifiedBy>
  <cp:revision>7</cp:revision>
  <cp:lastPrinted>2017-05-25T23:59:00Z</cp:lastPrinted>
  <dcterms:created xsi:type="dcterms:W3CDTF">2017-06-01T23:19:00Z</dcterms:created>
  <dcterms:modified xsi:type="dcterms:W3CDTF">2017-06-02T00:04:00Z</dcterms:modified>
</cp:coreProperties>
</file>